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Thank you for purchasing the </w:t>
      </w:r>
      <w:r>
        <w:rPr/>
        <w:t>TAPR</w:t>
      </w:r>
      <w:r>
        <w:rPr/>
        <w:t xml:space="preserve"> WSPR </w:t>
      </w:r>
      <w:r>
        <w:rPr/>
        <w:t>Transmitter</w:t>
      </w:r>
      <w:r>
        <w:rPr/>
        <w:t xml:space="preserve">. Below are the steps to </w:t>
      </w:r>
      <w:r>
        <w:rPr/>
        <w:t xml:space="preserve">get it up and running. </w:t>
      </w:r>
      <w:r>
        <w:rPr/>
        <w:t xml:space="preserve">This page </w:t>
      </w:r>
      <w:r>
        <w:rPr/>
        <w:t>i</w:t>
      </w:r>
      <w:r>
        <w:rPr/>
        <w:t xml:space="preserve">s intended as a starting point. The remainder of the instructions </w:t>
      </w:r>
      <w:r>
        <w:rPr/>
        <w:t>can be</w:t>
      </w:r>
      <w:r>
        <w:rPr/>
        <w:t xml:space="preserve"> downloaded from the </w:t>
      </w:r>
      <w:r>
        <w:rPr/>
        <w:t xml:space="preserve">TAPR </w:t>
      </w:r>
      <w:r>
        <w:rPr/>
        <w:t>website -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left="709" w:right="0" w:hanging="0"/>
        <w:jc w:val="left"/>
        <w:rPr/>
      </w:pPr>
      <w:hyperlink r:id="rId2">
        <w:r>
          <w:rPr>
            <w:rStyle w:val="InternetLink"/>
            <w:b/>
            <w:bCs/>
            <w:i/>
            <w:iCs/>
            <w:sz w:val="24"/>
            <w:szCs w:val="24"/>
          </w:rPr>
          <w:t>TAPR WSPR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The download </w:t>
      </w:r>
      <w:r>
        <w:rPr/>
        <w:t>links are</w:t>
      </w:r>
      <w:r>
        <w:rPr/>
        <w:t xml:space="preserve"> located at the bottom of the page.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In addition to the </w:t>
      </w:r>
      <w:r>
        <w:rPr/>
        <w:t>WSPR kit</w:t>
      </w:r>
      <w:r>
        <w:rPr/>
        <w:t xml:space="preserve">, you'll also need </w:t>
      </w:r>
      <w:r>
        <w:rPr/>
        <w:t xml:space="preserve">the following to have a complete </w:t>
      </w:r>
      <w:r>
        <w:rPr/>
        <w:t xml:space="preserve">WSPR </w:t>
      </w:r>
      <w:r>
        <w:rPr/>
        <w:t>transmitter</w:t>
      </w:r>
      <w:r>
        <w:rPr/>
        <w:t xml:space="preserve"> -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b/>
          <w:bCs/>
          <w:i/>
          <w:iCs/>
        </w:rPr>
        <w:t xml:space="preserve">Raspberry Pi 2, 3 </w:t>
      </w:r>
      <w:r>
        <w:rPr>
          <w:b/>
          <w:bCs/>
          <w:i/>
          <w:iCs/>
        </w:rPr>
        <w:t>or 4</w:t>
      </w:r>
      <w:r>
        <w:rPr/>
        <w:t xml:space="preserve"> (</w:t>
      </w:r>
      <w:r>
        <w:rPr>
          <w:i/>
          <w:iCs/>
        </w:rPr>
        <w:t>Pi</w:t>
      </w:r>
      <w:r>
        <w:rPr/>
        <w:t xml:space="preserve">). </w:t>
      </w:r>
      <w:r>
        <w:rPr/>
        <w:t>W</w:t>
      </w:r>
      <w:r>
        <w:rPr/>
        <w:t>e</w:t>
      </w:r>
      <w:r>
        <w:rPr/>
        <w:t xml:space="preserve"> recommend getting a Pi 3 </w:t>
      </w:r>
      <w:r>
        <w:rPr/>
        <w:t>or 4</w:t>
      </w:r>
      <w:r>
        <w:rPr/>
        <w:t xml:space="preserve">. </w:t>
      </w:r>
      <w:r>
        <w:rPr/>
        <w:t>They have</w:t>
      </w:r>
      <w:r>
        <w:rPr/>
        <w:t xml:space="preserve"> built in WiFi and faster processor </w:t>
      </w:r>
      <w:r>
        <w:rPr/>
        <w:t xml:space="preserve">(the Pi 2 does not) </w:t>
      </w:r>
      <w:r>
        <w:rPr/>
        <w:t xml:space="preserve"> …  One source is </w:t>
      </w:r>
      <w:r>
        <w:rPr/>
        <w:t>Adafruit</w:t>
      </w:r>
      <w:r>
        <w:rPr/>
        <w:t xml:space="preserve"> (</w:t>
      </w:r>
      <w:hyperlink r:id="rId3">
        <w:r>
          <w:rPr>
            <w:rStyle w:val="InternetLink"/>
          </w:rPr>
          <w:t>Adafruit Raspberry Pi</w:t>
        </w:r>
      </w:hyperlink>
      <w:r>
        <w:rPr/>
        <w:t xml:space="preserve">). </w:t>
      </w:r>
      <w:r>
        <w:rPr/>
        <w:t>We</w:t>
      </w:r>
      <w:r>
        <w:rPr/>
        <w:t xml:space="preserve"> have no connection with </w:t>
      </w:r>
      <w:r>
        <w:rPr/>
        <w:t>Adafruit</w:t>
      </w:r>
      <w:r>
        <w:rPr/>
        <w:t>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Soldering Iron, Solder, Wire Cutters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b/>
          <w:bCs/>
          <w:i/>
          <w:iCs/>
        </w:rPr>
        <w:t>2.</w:t>
      </w:r>
      <w:r>
        <w:rPr>
          <w:b/>
          <w:bCs/>
          <w:i/>
          <w:iCs/>
        </w:rPr>
        <w:t>5</w:t>
      </w:r>
      <w:r>
        <w:rPr>
          <w:b/>
          <w:bCs/>
          <w:i/>
          <w:iCs/>
        </w:rPr>
        <w:t xml:space="preserve"> amp power supply </w:t>
      </w:r>
      <w:r>
        <w:rPr>
          <w:b/>
          <w:bCs/>
          <w:i/>
          <w:iCs/>
        </w:rPr>
        <w:t>w/micro USB connector</w:t>
      </w:r>
      <w:r>
        <w:rPr/>
        <w:t xml:space="preserve">. This plugs into the micro USB connector of the Pi. </w:t>
      </w:r>
      <w:r>
        <w:rPr/>
        <w:t>Adafruit</w:t>
      </w:r>
      <w:r>
        <w:rPr/>
        <w:t xml:space="preserve"> is </w:t>
      </w:r>
      <w:r>
        <w:rPr/>
        <w:t>one</w:t>
      </w:r>
      <w:r>
        <w:rPr/>
        <w:t xml:space="preserve"> source (https://www.adafruit.com/product/1995). A word of caution: don't cheap out on the power supply. A weak power supply will cause intermittent problems that are </w:t>
      </w:r>
      <w:r>
        <w:rPr>
          <w:b/>
          <w:bCs/>
          <w:i/>
          <w:iCs/>
        </w:rPr>
        <w:t>very</w:t>
      </w:r>
      <w:r>
        <w:rPr/>
        <w:t xml:space="preserve"> hard to diagnose. </w:t>
      </w:r>
      <w:r>
        <w:rPr/>
        <w:t xml:space="preserve">Make sure the power supply will deliver at least 2 amps, </w:t>
      </w:r>
      <w:r>
        <w:rPr/>
        <w:t>and preferably more</w:t>
      </w:r>
      <w:r>
        <w:rPr/>
        <w:t>. This is cheap insurance.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b/>
          <w:bCs/>
          <w:i/>
          <w:iCs/>
        </w:rPr>
        <w:t>Ethernet cable</w:t>
      </w:r>
      <w:r>
        <w:rPr/>
        <w:t xml:space="preserve">. You need to connect the Pi to your network </w:t>
      </w:r>
      <w:r>
        <w:rPr/>
        <w:t>over Ethernet (wired connection)</w:t>
      </w:r>
      <w:r>
        <w:rPr/>
        <w:t xml:space="preserve"> for initial setup. </w:t>
      </w:r>
      <w:r>
        <w:rPr/>
        <w:t>You can switch to WiFi after that.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b/>
          <w:bCs/>
          <w:i/>
          <w:iCs/>
        </w:rPr>
        <w:t>WiFi USB dongle</w:t>
      </w:r>
      <w:r>
        <w:rPr/>
        <w:t xml:space="preserve">. You only need this if you're using an Pi 2 and you want to use WiFi. </w:t>
      </w:r>
      <w:r>
        <w:rPr/>
        <w:t xml:space="preserve"> Here is </w:t>
      </w:r>
      <w:r>
        <w:rPr/>
        <w:t xml:space="preserve">a </w:t>
      </w:r>
      <w:r>
        <w:rPr/>
        <w:t>WiFi dongle</w:t>
      </w:r>
      <w:r>
        <w:rPr/>
        <w:t xml:space="preserve"> </w:t>
      </w:r>
      <w:r>
        <w:rPr/>
        <w:t>example</w:t>
      </w:r>
      <w:r>
        <w:rPr/>
        <w:t xml:space="preserve">: </w:t>
      </w:r>
      <w:hyperlink r:id="rId4">
        <w:r>
          <w:rPr>
            <w:rStyle w:val="InternetLink"/>
            <w:color w:val="000000"/>
          </w:rPr>
          <w:t>Adafruit WiFi USB Dongle</w:t>
        </w:r>
      </w:hyperlink>
      <w:r>
        <w:rPr/>
        <w:t>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/>
          <w:bCs/>
          <w:i/>
          <w:iCs/>
        </w:rPr>
        <w:t xml:space="preserve">SD card </w:t>
      </w:r>
      <w:r>
        <w:rPr>
          <w:b w:val="false"/>
          <w:bCs w:val="false"/>
          <w:i w:val="false"/>
          <w:iCs w:val="false"/>
        </w:rPr>
        <w:t>(4 GB min, grade 10)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/>
          <w:bCs/>
          <w:i/>
          <w:iCs/>
        </w:rPr>
        <w:t>SD card reader</w:t>
      </w:r>
      <w:r>
        <w:rPr>
          <w:b w:val="false"/>
          <w:bCs w:val="false"/>
          <w:i w:val="false"/>
          <w:iCs w:val="false"/>
        </w:rPr>
        <w:t xml:space="preserve"> (micro SD card to USB)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/>
          <w:bCs/>
          <w:i/>
          <w:iCs/>
        </w:rPr>
        <w:t>A</w:t>
      </w:r>
      <w:r>
        <w:rPr>
          <w:b/>
          <w:bCs/>
          <w:i/>
          <w:iCs/>
        </w:rPr>
        <w:t>ntenna</w:t>
      </w: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 xml:space="preserve">(mate to </w:t>
      </w:r>
      <w:r>
        <w:rPr>
          <w:b w:val="false"/>
          <w:bCs w:val="false"/>
          <w:i w:val="false"/>
          <w:iCs w:val="false"/>
        </w:rPr>
        <w:t>BNC connector</w:t>
      </w:r>
      <w:r>
        <w:rPr>
          <w:b w:val="false"/>
          <w:bCs w:val="false"/>
          <w:i w:val="false"/>
          <w:iCs w:val="false"/>
        </w:rPr>
        <w:t xml:space="preserve"> on VW)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b w:val="false"/>
          <w:bCs w:val="false"/>
          <w:i w:val="false"/>
          <w:iCs w:val="false"/>
        </w:rPr>
        <w:t>C</w:t>
      </w:r>
      <w:r>
        <w:rPr>
          <w:b w:val="false"/>
          <w:bCs w:val="false"/>
          <w:i w:val="false"/>
          <w:iCs w:val="false"/>
        </w:rPr>
        <w:t xml:space="preserve">ontact us at </w:t>
      </w:r>
      <w:hyperlink r:id="rId5">
        <w:r>
          <w:rPr>
            <w:rStyle w:val="InternetLink"/>
            <w:b/>
            <w:bCs/>
            <w:i w:val="false"/>
            <w:iCs w:val="false"/>
            <w:color w:val="000000"/>
          </w:rPr>
          <w:t>contact@tapr.org</w:t>
        </w:r>
      </w:hyperlink>
      <w:r>
        <w:rPr>
          <w:b w:val="false"/>
          <w:bCs w:val="false"/>
          <w:i w:val="false"/>
          <w:iCs w:val="false"/>
        </w:rPr>
        <w:t xml:space="preserve"> for help or troubleshooting.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733040" cy="176022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We intentionally did not install t</w:t>
      </w:r>
      <w:r>
        <w:rPr/>
        <w:t xml:space="preserve">he low pass filter (LPF) components so that we can use a common board for multiple bands </w:t>
      </w:r>
      <w:r>
        <w:rPr/>
        <w:t>and provide specific LPF components for each band</w:t>
      </w:r>
      <w:r>
        <w:rPr/>
        <w:t xml:space="preserve">. You should have received a packet of components (4 capacitors and 3 inductors) along with the board for your kit. The inductors should be installed into spaces </w:t>
      </w:r>
      <w:r>
        <w:rPr/>
        <w:t>marked</w:t>
      </w:r>
      <w:r>
        <w:rPr/>
        <w:t xml:space="preserve"> L3, L4 and L5 </w:t>
      </w:r>
      <w:r>
        <w:rPr/>
        <w:t>on the board</w:t>
      </w:r>
      <w:r>
        <w:rPr/>
        <w:t xml:space="preserve"> (the inductors are all the same value, so it doesn’t matter which inductor goes where). The </w:t>
      </w:r>
      <w:r>
        <w:rPr/>
        <w:t>c</w:t>
      </w:r>
      <w:r>
        <w:rPr/>
        <w:t xml:space="preserve">apacitor </w:t>
      </w:r>
      <w:r>
        <w:rPr/>
        <w:t>values</w:t>
      </w:r>
      <w:r>
        <w:rPr/>
        <w:t xml:space="preserve"> are shown in Table </w:t>
      </w:r>
      <w:r>
        <w:rPr/>
        <w:fldChar w:fldCharType="begin"/>
      </w:r>
      <w:r>
        <w:rPr/>
        <w:instrText> REF Ref_Table0_number_only \h </w:instrText>
      </w:r>
      <w:r>
        <w:rPr/>
        <w:fldChar w:fldCharType="separate"/>
      </w:r>
      <w:r>
        <w:rPr/>
        <w:t>1</w:t>
      </w:r>
      <w:r>
        <w:rPr/>
        <w:fldChar w:fldCharType="end"/>
      </w:r>
      <w:r>
        <w:rPr/>
        <w:t xml:space="preserve"> </w:t>
      </w:r>
      <w:r>
        <w:rPr/>
        <w:t xml:space="preserve">and go into spaces marked C4, C5, C6 and C7 (See </w:t>
      </w:r>
      <w:r>
        <w:rPr/>
        <w:t>Table below</w:t>
      </w:r>
      <w:r>
        <w:rPr/>
        <w:t>).</w:t>
      </w:r>
    </w:p>
    <w:tbl>
      <w:tblPr>
        <w:tblW w:w="8640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60"/>
        <w:gridCol w:w="2160"/>
        <w:gridCol w:w="2160"/>
        <w:gridCol w:w="2160"/>
      </w:tblGrid>
      <w:tr>
        <w:trPr/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Band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C4, C7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C5, C6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L3, L4, L5</w:t>
            </w:r>
          </w:p>
        </w:tc>
      </w:tr>
      <w:tr>
        <w:trPr/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151 (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150 pF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271 (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270 pF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yel-pur-silver-silver (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 nH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</w:tr>
      <w:tr>
        <w:trPr>
          <w:trHeight w:val="468" w:hRule="atLeast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,1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121 (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120 pF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221 (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220 pF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ora-wht-silver-silver (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 nH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</w:tr>
    </w:tbl>
    <w:p>
      <w:pPr>
        <w:pStyle w:val="Table"/>
        <w:keepNext w:val="true"/>
        <w:bidi w:val="0"/>
        <w:jc w:val="center"/>
        <w:rPr/>
      </w:pPr>
      <w:r>
        <w:rPr/>
        <w:t xml:space="preserve">Table </w:t>
      </w:r>
      <w:bookmarkStart w:id="0" w:name="Ref_Table0_number_only"/>
      <w:r>
        <w:rPr/>
        <w:fldChar w:fldCharType="begin"/>
      </w:r>
      <w:r>
        <w:rPr/>
        <w:instrText> SEQ Table \* ARABIC </w:instrText>
      </w:r>
      <w:r>
        <w:rPr/>
        <w:fldChar w:fldCharType="separate"/>
      </w:r>
      <w:r>
        <w:rPr/>
        <w:t>1</w:t>
      </w:r>
      <w:r>
        <w:rPr/>
        <w:fldChar w:fldCharType="end"/>
      </w:r>
      <w:bookmarkEnd w:id="0"/>
      <w:r>
        <w:rPr/>
        <w:t xml:space="preserve">: </w:t>
      </w:r>
      <w:r>
        <w:rPr/>
        <w:t>Low Pass Filter Component Values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Happy </w:t>
      </w:r>
      <w:r>
        <w:rPr/>
        <w:t>WSPRing</w:t>
      </w:r>
      <w:r>
        <w:rPr/>
        <w:t>!</w:t>
      </w:r>
    </w:p>
    <w:p>
      <w:pPr>
        <w:pStyle w:val="Normal"/>
        <w:bidi w:val="0"/>
        <w:jc w:val="left"/>
        <w:rPr/>
      </w:pPr>
      <w:r>
        <w:rPr/>
        <w:t>73,</w:t>
      </w:r>
      <w:r>
        <w:rPr/>
        <w:t xml:space="preserve"> TAPR</w:t>
      </w:r>
    </w:p>
    <w:sectPr>
      <w:headerReference w:type="default" r:id="rId7"/>
      <w:footerReference w:type="default" r:id="rId8"/>
      <w:type w:val="nextPage"/>
      <w:pgSz w:w="12240" w:h="15840"/>
      <w:pgMar w:left="1134" w:right="1134" w:header="1123" w:top="2295" w:footer="1123" w:bottom="168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left"/>
      <w:rPr/>
    </w:pPr>
    <w:r>
      <w:rPr/>
      <w:t>TAPR WSPR</w:t>
      <w:tab/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    </w:t>
      <w:tab/>
    </w:r>
    <w:r>
      <w:rPr/>
      <w:t>Version 1.</w:t>
    </w:r>
    <w:r>
      <w:rPr/>
      <w:t>1</w:t>
    </w:r>
    <w:r>
      <w:rPr/>
      <w:t xml:space="preserve">          </w:t>
    </w:r>
    <w:r>
      <w:rPr/>
      <w:fldChar w:fldCharType="begin" w:fldLock="true"/>
    </w:r>
    <w:r>
      <w:rPr/>
      <w:instrText> DATE \@"MM/dd/yy" </w:instrText>
    </w:r>
    <w:r>
      <w:rPr/>
      <w:fldChar w:fldCharType="separate"/>
    </w:r>
    <w:r>
      <w:rPr/>
      <w:t>04/17/21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le"/>
      <w:bidi w:val="0"/>
      <w:spacing w:before="240" w:after="120"/>
      <w:jc w:val="center"/>
      <w:rPr/>
    </w:pPr>
    <w:r>
      <w:rPr/>
      <w:t xml:space="preserve">Versatile </w:t>
    </w:r>
    <w:r>
      <w:rPr/>
      <w:t xml:space="preserve">WSPR </w:t>
    </w:r>
    <w:r>
      <w:rPr/>
      <w:softHyphen/>
      <w:t xml:space="preserve"> README First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Footer">
    <w:name w:val="Footer"/>
    <w:basedOn w:val="HeaderandFooter"/>
    <w:pPr>
      <w:suppressLineNumbers/>
    </w:pPr>
    <w:rPr/>
  </w:style>
  <w:style w:type="paragraph" w:styleId="Table">
    <w:name w:val="Table"/>
    <w:basedOn w:val="Caption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iles.tapr.org/product_docs/TAPR - WSPR WIthout Tears - v2.2.pdf" TargetMode="External"/><Relationship Id="rId3" Type="http://schemas.openxmlformats.org/officeDocument/2006/relationships/hyperlink" Target="http://web.tapr.org/product_docs/WSPR/" TargetMode="External"/><Relationship Id="rId4" Type="http://schemas.openxmlformats.org/officeDocument/2006/relationships/hyperlink" Target="https://www.adafruit.com/product/2810" TargetMode="External"/><Relationship Id="rId5" Type="http://schemas.openxmlformats.org/officeDocument/2006/relationships/hyperlink" Target="mailto:contact@tapr.org" TargetMode="Externa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485</TotalTime>
  <Application>LibreOffice/6.4.3.2$Windows_X86_64 LibreOffice_project/747b5d0ebf89f41c860ec2a39efd7cb15b54f2d8</Application>
  <Pages>2</Pages>
  <Words>428</Words>
  <CharactersWithSpaces>2352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2016-10-03T21:43:32Z</dcterms:created>
  <dc:creator/>
  <dc:description/>
  <dc:language>en-US</dc:language>
  <cp:lastModifiedBy/>
  <cp:lastPrinted>2021-01-29T08:19:08Z</cp:lastPrinted>
  <dcterms:modified xsi:type="dcterms:W3CDTF">2021-04-17T10:14:39Z</dcterms:modified>
  <cp:revision>54</cp:revision>
  <dc:subject/>
  <dc:title/>
</cp:coreProperties>
</file>